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16FF3E89" w:rsidR="007C31BE" w:rsidRPr="000B3AEB" w:rsidRDefault="007C31BE" w:rsidP="00614AB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کارآموزی </w:t>
                            </w:r>
                            <w:r w:rsidR="00614939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مراقبت در اتاق ریکاوری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</w:t>
                            </w:r>
                            <w:r w:rsidR="006779F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1403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</w:t>
                            </w:r>
                            <w:r w:rsidR="006779F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1404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16FF3E89" w:rsidR="007C31BE" w:rsidRPr="000B3AEB" w:rsidRDefault="007C31BE" w:rsidP="00614AB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کارآموزی </w:t>
                      </w:r>
                      <w:r w:rsidR="00614939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مراقبت در اتاق ریکاوری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</w:t>
                      </w:r>
                      <w:r w:rsidR="006779F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1403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-</w:t>
                      </w:r>
                      <w:r w:rsidR="006779F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1404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1A6DC2A0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939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مراقبت در اتاق ریکاوری</w:t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2D89638F" w:rsidR="002121BE" w:rsidRPr="000B3AEB" w:rsidRDefault="002121BE" w:rsidP="00614AB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 xml:space="preserve">اتاق عمل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22 بهمن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31A1BDEE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131D2">
              <w:rPr>
                <w:rFonts w:asciiTheme="minorHAnsi" w:hAnsiTheme="minorHAnsi" w:cs="B Mitra" w:hint="cs"/>
                <w:b/>
                <w:bCs/>
                <w:rtl/>
              </w:rPr>
              <w:t>2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0D0A0DFA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614939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مراقبت در اتاق بهبودی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BBC23DF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779F3">
              <w:rPr>
                <w:rFonts w:asciiTheme="minorHAnsi" w:hAnsiTheme="minorHAnsi" w:cs="B Mitra" w:hint="cs"/>
                <w:b/>
                <w:bCs/>
                <w:rtl/>
              </w:rPr>
              <w:t>اعضای گروه اتاق عمل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5535F6" w:rsidRPr="00A90683" w14:paraId="3AABA145" w14:textId="77777777" w:rsidTr="00BF6A2C">
        <w:trPr>
          <w:trHeight w:val="1090"/>
        </w:trPr>
        <w:tc>
          <w:tcPr>
            <w:tcW w:w="9540" w:type="dxa"/>
          </w:tcPr>
          <w:p w14:paraId="143F0729" w14:textId="77777777" w:rsidR="005535F6" w:rsidRDefault="005535F6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6502083D" w14:textId="77777777" w:rsidR="00614939" w:rsidRDefault="00614939" w:rsidP="00614939">
            <w:pPr>
              <w:pStyle w:val="NormalWeb"/>
              <w:bidi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کارآموزی در اتاق بهبودی به دانشجو کمک می‌کند که آنچه را تاکنون بصورت نظری فرا گرفته، در بالین مشاهده و بکار برد، بالا بردن سطح توان عملی و عملی دانشجو در این واحد بسیار حائز اهمیت است زیرا وی مستقیماً با نظارت مدرس برای بیمار کار می کند و کیفیت کار  او در کاهش یا جلوگیری از بروز بسیاری از مشکلات و عوارض بعد از عمل اهمیت دارد. </w:t>
            </w:r>
          </w:p>
          <w:p w14:paraId="50BE96CA" w14:textId="198EA3B4" w:rsidR="005535F6" w:rsidRPr="004767E1" w:rsidRDefault="005535F6" w:rsidP="005535F6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775B516F" w:rsidR="00614ABD" w:rsidRPr="00D60085" w:rsidRDefault="004767E1" w:rsidP="00614A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</w:t>
            </w:r>
            <w:r w:rsidR="00F131D2">
              <w:rPr>
                <w:rFonts w:cs="B Nazanin" w:hint="cs"/>
                <w:b/>
                <w:bCs/>
                <w:rtl/>
              </w:rPr>
              <w:t xml:space="preserve"> </w:t>
            </w:r>
            <w:r w:rsidR="00614939">
              <w:rPr>
                <w:rFonts w:cs="B Nazanin" w:hint="cs"/>
                <w:b/>
                <w:bCs/>
                <w:rtl/>
              </w:rPr>
              <w:t>مراقبت در اتاق ریکاوری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در </w:t>
            </w:r>
            <w:r w:rsidR="00614ABD">
              <w:rPr>
                <w:rFonts w:cs="B Nazanin" w:hint="cs"/>
                <w:b/>
                <w:bCs/>
                <w:rtl/>
              </w:rPr>
              <w:t xml:space="preserve">اتاق عمل 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59061186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33BAB599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دانشجو محل و موقعیت اتاق بهبودی ر ا ترسیم نماید. </w:t>
            </w:r>
          </w:p>
          <w:p w14:paraId="1CD57E88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اتاق بهبودی را جهت استفاده بیمار آماده کند. </w:t>
            </w:r>
          </w:p>
          <w:p w14:paraId="4563F9FA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وسایل موجود در اتاق بهبودی را شرح دهد. </w:t>
            </w:r>
          </w:p>
          <w:p w14:paraId="2779CC1B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وسایل ضروری را در کنار تخت بیمار قرار دهد. </w:t>
            </w:r>
          </w:p>
          <w:p w14:paraId="0697EAF3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نحوه تحویل بیمار از اتاق عمل را نشان دهد. </w:t>
            </w:r>
          </w:p>
          <w:p w14:paraId="0D1D162A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راههای هوایی را باز نگه دارد. </w:t>
            </w:r>
          </w:p>
          <w:p w14:paraId="2FE81157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بیمار را در پوزیشن مناسب قرار دهد. </w:t>
            </w:r>
          </w:p>
          <w:p w14:paraId="74EE0667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lastRenderedPageBreak/>
              <w:t xml:space="preserve">علائم هیپوکسی را جستجو کند. </w:t>
            </w:r>
          </w:p>
          <w:p w14:paraId="6A78886A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اکسیژن درمانی بیمار را با روش مناسب ماسک، سوند و چادر انجام دهد. </w:t>
            </w:r>
          </w:p>
          <w:p w14:paraId="2D163309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وسایل محافظتی بیمار را در تخت یا برانکارد بکار گیرد. </w:t>
            </w:r>
          </w:p>
          <w:p w14:paraId="47B0A2A8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کنترل علائم حیاتی را نمایش دهد. </w:t>
            </w:r>
          </w:p>
          <w:p w14:paraId="5E5CDE52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عوارض بعد از عمل را توصیف، تشخیص و حتی‌الامکان پیشگیری نماید. </w:t>
            </w:r>
          </w:p>
          <w:p w14:paraId="2BC9E115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محل پانسمان (درن، کاتتر و ...) را کنترل نماید. </w:t>
            </w:r>
          </w:p>
          <w:p w14:paraId="7ACCAEAE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/>
                <w:bCs/>
                <w:sz w:val="28"/>
                <w:szCs w:val="28"/>
              </w:rPr>
              <w:t>IO</w:t>
            </w: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 بیمار را کنترل نماید. </w:t>
            </w:r>
          </w:p>
          <w:p w14:paraId="19563110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انفوزیون وریدی بیمار را کنترل نماید. </w:t>
            </w:r>
          </w:p>
          <w:p w14:paraId="1AA5035D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تزریقات بیمار را انجام دهد. </w:t>
            </w:r>
          </w:p>
          <w:p w14:paraId="477EC460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مشاهدات (مراقبتهای انجام شده، داروهای تجویز ده، ساعت ورود و خروج و سطح هوشیاری بیمار) را ثبت نماید. </w:t>
            </w:r>
          </w:p>
          <w:p w14:paraId="65407C8D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حس، رنگ و حرکت عضو گچ گرفته را کنترل نماید. </w:t>
            </w:r>
          </w:p>
          <w:p w14:paraId="75F719B7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علائم شوک را شناسایی کند و در صورت وقوع اطلاع دهد. </w:t>
            </w:r>
          </w:p>
          <w:p w14:paraId="23A28249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موارد استفاده و مراقبتهای پرستاری مربوط به داروهای پرمصرف در ریکاوری را بیان کند. </w:t>
            </w:r>
          </w:p>
          <w:p w14:paraId="2C6CE74A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>بیمار را ترک نکند.</w:t>
            </w:r>
          </w:p>
          <w:p w14:paraId="68F1C145" w14:textId="77777777" w:rsidR="00614939" w:rsidRDefault="00614939" w:rsidP="00614939">
            <w:pPr>
              <w:numPr>
                <w:ilvl w:val="0"/>
                <w:numId w:val="18"/>
              </w:numPr>
              <w:jc w:val="lowKashida"/>
              <w:rPr>
                <w:rFonts w:cs="B Mitra"/>
                <w:b/>
                <w:sz w:val="28"/>
                <w:szCs w:val="28"/>
              </w:rPr>
            </w:pPr>
            <w:r>
              <w:rPr>
                <w:rFonts w:cs="B Mitra" w:hint="cs"/>
                <w:b/>
                <w:sz w:val="28"/>
                <w:szCs w:val="28"/>
                <w:rtl/>
              </w:rPr>
              <w:t xml:space="preserve">مراقبتهای اختصاصی از بیماران تحت جراحیهای مختلف را انجام دهد. </w:t>
            </w:r>
          </w:p>
          <w:p w14:paraId="1BF1FAAA" w14:textId="5A11B848" w:rsidR="006977D6" w:rsidRPr="006977D6" w:rsidRDefault="006977D6" w:rsidP="00F131D2">
            <w:pPr>
              <w:pStyle w:val="BodyText"/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99C021" w14:textId="77777777" w:rsidR="006779F3" w:rsidRPr="00F131D2" w:rsidRDefault="006779F3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جلسه معارفه، دانشجو از اهداف دوره و مقررات حاكم آگاه شده و با محيط بخش آشنا شود.</w:t>
            </w:r>
          </w:p>
          <w:p w14:paraId="59EC5923" w14:textId="6AA94D8C" w:rsidR="00BF509B" w:rsidRPr="00F131D2" w:rsidRDefault="00BF509B" w:rsidP="00F131D2">
            <w:pPr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F131D2" w:rsidRDefault="000B3AEB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2AC20A97" w:rsidR="000B3AEB" w:rsidRPr="00F131D2" w:rsidRDefault="00BF509B" w:rsidP="00F131D2">
            <w:pPr>
              <w:jc w:val="both"/>
              <w:rPr>
                <w:rFonts w:cs="B Mitra"/>
                <w:b/>
                <w:bCs/>
              </w:rPr>
            </w:pPr>
            <w:r w:rsidRPr="00F131D2">
              <w:rPr>
                <w:rFonts w:cs="B Mitra" w:hint="cs"/>
                <w:b/>
                <w:bCs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DDF3876" w14:textId="3BE595D4" w:rsidR="00F131D2" w:rsidRPr="00F131D2" w:rsidRDefault="00614939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دانشجو اصول مراقبت از بیماران جراحی گوارش را رعایت نماید.</w:t>
            </w:r>
          </w:p>
          <w:p w14:paraId="57D68280" w14:textId="2227D50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A1772C" w14:textId="679A4559" w:rsidR="00614939" w:rsidRPr="00F131D2" w:rsidRDefault="00614939" w:rsidP="00614939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دانشجو اصول مراقبت از بیماران جراحی اعصاب را رعایت نماید.</w:t>
            </w:r>
          </w:p>
          <w:p w14:paraId="2D320467" w14:textId="6D250E9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4635DF2" w14:textId="11584551" w:rsidR="00614939" w:rsidRPr="00F131D2" w:rsidRDefault="00614939" w:rsidP="00614939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دانشجو اصول مراقبت از بیماران جراحی چشم را رعایت نماید.</w:t>
            </w:r>
          </w:p>
          <w:p w14:paraId="49ECA225" w14:textId="41AE9465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267F6D1" w14:textId="783662BE" w:rsidR="00614939" w:rsidRPr="00F131D2" w:rsidRDefault="00614939" w:rsidP="00614939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دانشجو اصول مراقبت از بیماران جراحی ارتوپدی را رعایت نماید.</w:t>
            </w:r>
          </w:p>
          <w:p w14:paraId="55B883FF" w14:textId="617FCE2A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9771A7E" w14:textId="0A78F1D8" w:rsidR="00614939" w:rsidRPr="00F131D2" w:rsidRDefault="00614939" w:rsidP="00614939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 xml:space="preserve">دانشجو اصول مراقبت از بیماران جراحی </w:t>
            </w:r>
            <w:r>
              <w:rPr>
                <w:rFonts w:cs="B Mitra"/>
                <w:b/>
                <w:bCs/>
              </w:rPr>
              <w:t>ENT</w:t>
            </w:r>
            <w:r>
              <w:rPr>
                <w:rFonts w:cs="B Mitra" w:hint="cs"/>
                <w:b/>
                <w:bCs/>
                <w:rtl/>
              </w:rPr>
              <w:t xml:space="preserve"> را رعایت نماید.</w:t>
            </w:r>
          </w:p>
          <w:p w14:paraId="71173D93" w14:textId="7F151B8A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CE2B3A0" w14:textId="24B7A507" w:rsidR="00614939" w:rsidRPr="00F131D2" w:rsidRDefault="00614939" w:rsidP="00614939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دانشجو اصول مراقبت از بیماران جراحی توراکس را رعایت نماید.</w:t>
            </w:r>
          </w:p>
          <w:p w14:paraId="0FB66463" w14:textId="67CE67C1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442C3E7" w14:textId="1E883543" w:rsidR="00614939" w:rsidRPr="00F131D2" w:rsidRDefault="00614939" w:rsidP="00614939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دانشجو اصول مراقبت از بیماران جراحی قلب و عروق را رعایت نماید.</w:t>
            </w:r>
          </w:p>
          <w:p w14:paraId="1AD8114E" w14:textId="746F433B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CC35111" w14:textId="77777777" w:rsidR="00F131D2" w:rsidRPr="00F131D2" w:rsidRDefault="00F131D2" w:rsidP="00F131D2">
            <w:pPr>
              <w:tabs>
                <w:tab w:val="left" w:pos="1738"/>
                <w:tab w:val="center" w:pos="3171"/>
              </w:tabs>
              <w:jc w:val="both"/>
              <w:rPr>
                <w:rFonts w:cs="B Mitra"/>
                <w:b/>
                <w:bCs/>
                <w:rtl/>
              </w:rPr>
            </w:pPr>
            <w:r w:rsidRPr="00F131D2">
              <w:rPr>
                <w:rFonts w:cs="B Mitra" w:hint="cs"/>
                <w:b/>
                <w:bCs/>
                <w:rtl/>
              </w:rPr>
              <w:t>ارزشيابي عملي و ارائه بازخورد به دانشجويان</w:t>
            </w:r>
          </w:p>
          <w:p w14:paraId="2AF56BEF" w14:textId="31120E82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F131D2" w:rsidRDefault="00E26577" w:rsidP="00F131D2">
            <w:pPr>
              <w:jc w:val="both"/>
              <w:rPr>
                <w:rFonts w:cs="B Mitra"/>
                <w:b/>
                <w:bCs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19FDCE79" w14:textId="77777777" w:rsidR="00614939" w:rsidRDefault="00614939" w:rsidP="00614939">
                  <w:pPr>
                    <w:pStyle w:val="Title"/>
                    <w:numPr>
                      <w:ilvl w:val="0"/>
                      <w:numId w:val="19"/>
                    </w:numPr>
                    <w:spacing w:line="360" w:lineRule="auto"/>
                    <w:ind w:left="72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lastRenderedPageBreak/>
                    <w:t>نانسی ماری، اصول کار در اتاق عمل (جلد اول از تکنیک‌های کار در اتاق عمل بری و کوهن) ترجمه ساداتی لیلا، گلچینی از احساس و دیگران، انتشارات جامعه‌نگر، 1393</w:t>
                  </w:r>
                </w:p>
                <w:p w14:paraId="38E6AA9C" w14:textId="77777777" w:rsidR="00614939" w:rsidRDefault="00614939" w:rsidP="00614939">
                  <w:pPr>
                    <w:pStyle w:val="Title"/>
                    <w:numPr>
                      <w:ilvl w:val="0"/>
                      <w:numId w:val="19"/>
                    </w:numPr>
                    <w:spacing w:line="360" w:lineRule="auto"/>
                    <w:ind w:left="72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قارداشی، فاطمه، اکبرزاده، رویا، اصول مراقبتهای ویژه در اتاقهای بهبودی، انتشارات سالمی- جامعه‌نگر، 13392</w:t>
                  </w:r>
                </w:p>
                <w:p w14:paraId="042BF46C" w14:textId="77777777" w:rsidR="00614939" w:rsidRDefault="00614939" w:rsidP="00614939">
                  <w:pPr>
                    <w:pStyle w:val="Title"/>
                    <w:numPr>
                      <w:ilvl w:val="0"/>
                      <w:numId w:val="19"/>
                    </w:numPr>
                    <w:spacing w:line="360" w:lineRule="auto"/>
                    <w:ind w:left="72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 xml:space="preserve">برونر، سودارث، مراقبتهای عمومی از بیمار بعد از عمل جراحی،پروانه بیشه‌بان </w:t>
                  </w:r>
                </w:p>
                <w:p w14:paraId="254C8D3B" w14:textId="77777777" w:rsidR="00614939" w:rsidRDefault="00614939" w:rsidP="00614939">
                  <w:pPr>
                    <w:pStyle w:val="Title"/>
                    <w:numPr>
                      <w:ilvl w:val="0"/>
                      <w:numId w:val="19"/>
                    </w:numPr>
                    <w:spacing w:line="360" w:lineRule="auto"/>
                    <w:ind w:left="72"/>
                    <w:jc w:val="lowKashida"/>
                    <w:rPr>
                      <w:rFonts w:cs="B Mitra"/>
                      <w:bCs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 w:hint="cs"/>
                      <w:bCs w:val="0"/>
                      <w:color w:val="000000"/>
                      <w:sz w:val="28"/>
                      <w:szCs w:val="28"/>
                      <w:rtl/>
                      <w:lang w:bidi="fa-IR"/>
                    </w:rPr>
                    <w:t>ساداتی، لیلا- گلچینی، احسان، اصول مراقبت از بیمار در اتاق بهبودی انتشارات جامعه‌نگر، چاپ دوم، 1392</w:t>
                  </w:r>
                </w:p>
                <w:p w14:paraId="04D2DA8B" w14:textId="77777777" w:rsidR="00614939" w:rsidRDefault="00614939" w:rsidP="00614939">
                  <w:pPr>
                    <w:pStyle w:val="Title"/>
                    <w:numPr>
                      <w:ilvl w:val="0"/>
                      <w:numId w:val="19"/>
                    </w:numPr>
                    <w:bidi w:val="0"/>
                    <w:spacing w:line="360" w:lineRule="auto"/>
                    <w:ind w:left="72"/>
                    <w:jc w:val="lowKashida"/>
                    <w:rPr>
                      <w:rFonts w:cs="B Mitra"/>
                      <w:b w:val="0"/>
                      <w:color w:val="000000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Mitra"/>
                      <w:b w:val="0"/>
                      <w:color w:val="000000"/>
                      <w:sz w:val="28"/>
                      <w:szCs w:val="28"/>
                      <w:lang w:bidi="fa-IR"/>
                    </w:rPr>
                    <w:t>Berry &amp; Kohn's Operating Room Technique/ Nancymarie Phillips/ Mosby; 12 edition/ ISBN: 9780323073585</w:t>
                  </w: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9CC33" w14:textId="77777777" w:rsidR="00AC0536" w:rsidRDefault="00AC0536">
      <w:r>
        <w:separator/>
      </w:r>
    </w:p>
  </w:endnote>
  <w:endnote w:type="continuationSeparator" w:id="0">
    <w:p w14:paraId="7C253E75" w14:textId="77777777" w:rsidR="00AC0536" w:rsidRDefault="00AC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339B8E4F-EAA1-4AE7-8550-575E6C172AB8}"/>
    <w:embedBold r:id="rId2" w:fontKey="{C3A3EC62-F092-4D1F-917C-30ACCBA5B5E6}"/>
    <w:embedItalic r:id="rId3" w:fontKey="{2FEC1116-3DE0-49B1-93E1-76AEE66DF005}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2077C718-3712-4FBB-B1E5-B2D08288C2D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D65BC0E1-5019-4C1B-ABFC-3EB327617F6A}"/>
    <w:embedBold r:id="rId6" w:fontKey="{076C6A7D-DE84-4EE6-85F3-78D52CAAC2D5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C163019D-9FEB-415C-BE13-BD1FDAD535F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8" w:fontKey="{834C098B-61F7-47AA-9AD8-6DD7C020DC84}"/>
    <w:embedBold r:id="rId9" w:fontKey="{7A4EB3BA-28DF-4A42-9728-43559D95CDC9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33DD" w14:textId="77777777" w:rsidR="00AC0536" w:rsidRDefault="00AC0536">
      <w:r>
        <w:separator/>
      </w:r>
    </w:p>
  </w:footnote>
  <w:footnote w:type="continuationSeparator" w:id="0">
    <w:p w14:paraId="00AF3027" w14:textId="77777777" w:rsidR="00AC0536" w:rsidRDefault="00AC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AC0536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AC0536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AC0536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332A"/>
    <w:multiLevelType w:val="hybridMultilevel"/>
    <w:tmpl w:val="F96C4510"/>
    <w:lvl w:ilvl="0" w:tplc="616CC0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4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385"/>
    <w:multiLevelType w:val="hybridMultilevel"/>
    <w:tmpl w:val="9E2EEF42"/>
    <w:lvl w:ilvl="0" w:tplc="718EE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"/>
        </w:tabs>
        <w:ind w:left="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7"/>
        </w:tabs>
        <w:ind w:left="1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7"/>
        </w:tabs>
        <w:ind w:left="1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7"/>
        </w:tabs>
        <w:ind w:left="2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7"/>
        </w:tabs>
        <w:ind w:left="3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7"/>
        </w:tabs>
        <w:ind w:left="4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7"/>
        </w:tabs>
        <w:ind w:left="5347" w:hanging="180"/>
      </w:pPr>
    </w:lvl>
  </w:abstractNum>
  <w:abstractNum w:abstractNumId="12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C0B75"/>
    <w:multiLevelType w:val="hybridMultilevel"/>
    <w:tmpl w:val="57C4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17"/>
  </w:num>
  <w:num w:numId="9">
    <w:abstractNumId w:val="15"/>
  </w:num>
  <w:num w:numId="10">
    <w:abstractNumId w:val="8"/>
  </w:num>
  <w:num w:numId="11">
    <w:abstractNumId w:val="2"/>
  </w:num>
  <w:num w:numId="12">
    <w:abstractNumId w:val="16"/>
  </w:num>
  <w:num w:numId="13">
    <w:abstractNumId w:val="4"/>
  </w:num>
  <w:num w:numId="14">
    <w:abstractNumId w:val="7"/>
  </w:num>
  <w:num w:numId="15">
    <w:abstractNumId w:val="5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1D45"/>
    <w:rsid w:val="00037474"/>
    <w:rsid w:val="00037942"/>
    <w:rsid w:val="000548B0"/>
    <w:rsid w:val="00062BFF"/>
    <w:rsid w:val="00067D3C"/>
    <w:rsid w:val="000B3AEB"/>
    <w:rsid w:val="000E21E1"/>
    <w:rsid w:val="000F091F"/>
    <w:rsid w:val="00106703"/>
    <w:rsid w:val="00121D45"/>
    <w:rsid w:val="00136202"/>
    <w:rsid w:val="001A2B5C"/>
    <w:rsid w:val="002121BE"/>
    <w:rsid w:val="002177CC"/>
    <w:rsid w:val="00254153"/>
    <w:rsid w:val="003345D0"/>
    <w:rsid w:val="003A150C"/>
    <w:rsid w:val="003A4E8F"/>
    <w:rsid w:val="003C0043"/>
    <w:rsid w:val="00410B81"/>
    <w:rsid w:val="00467EFF"/>
    <w:rsid w:val="004767E1"/>
    <w:rsid w:val="004E1040"/>
    <w:rsid w:val="00504B14"/>
    <w:rsid w:val="00504D54"/>
    <w:rsid w:val="005535F6"/>
    <w:rsid w:val="005A60DC"/>
    <w:rsid w:val="005B5876"/>
    <w:rsid w:val="00614939"/>
    <w:rsid w:val="00614ABD"/>
    <w:rsid w:val="006779F3"/>
    <w:rsid w:val="006977D6"/>
    <w:rsid w:val="006E24F4"/>
    <w:rsid w:val="006F4D68"/>
    <w:rsid w:val="00765E77"/>
    <w:rsid w:val="00792826"/>
    <w:rsid w:val="007C31BE"/>
    <w:rsid w:val="007F5C77"/>
    <w:rsid w:val="008119C4"/>
    <w:rsid w:val="0082128F"/>
    <w:rsid w:val="00863FB9"/>
    <w:rsid w:val="00865211"/>
    <w:rsid w:val="0090799C"/>
    <w:rsid w:val="0095484D"/>
    <w:rsid w:val="00974928"/>
    <w:rsid w:val="009915AC"/>
    <w:rsid w:val="009C48F6"/>
    <w:rsid w:val="009D764D"/>
    <w:rsid w:val="009F2560"/>
    <w:rsid w:val="00A305EE"/>
    <w:rsid w:val="00A62544"/>
    <w:rsid w:val="00A90683"/>
    <w:rsid w:val="00AC0536"/>
    <w:rsid w:val="00AF4A8F"/>
    <w:rsid w:val="00B5215E"/>
    <w:rsid w:val="00B70736"/>
    <w:rsid w:val="00B807C6"/>
    <w:rsid w:val="00BA0CBA"/>
    <w:rsid w:val="00BB2ADF"/>
    <w:rsid w:val="00BF509B"/>
    <w:rsid w:val="00BF6A2C"/>
    <w:rsid w:val="00CA2EA9"/>
    <w:rsid w:val="00CC7EBB"/>
    <w:rsid w:val="00CD3599"/>
    <w:rsid w:val="00CD657A"/>
    <w:rsid w:val="00D32091"/>
    <w:rsid w:val="00D32794"/>
    <w:rsid w:val="00D711E5"/>
    <w:rsid w:val="00D91A0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EE5F63"/>
    <w:rsid w:val="00F131D2"/>
    <w:rsid w:val="00F17C7E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  <w:style w:type="paragraph" w:styleId="Title">
    <w:name w:val="Title"/>
    <w:basedOn w:val="Normal"/>
    <w:link w:val="TitleChar"/>
    <w:qFormat/>
    <w:rsid w:val="006779F3"/>
    <w:pPr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6779F3"/>
    <w:rPr>
      <w:rFonts w:cs="Nazanin"/>
      <w:b/>
      <w:bCs/>
      <w:noProof/>
      <w:szCs w:val="36"/>
    </w:rPr>
  </w:style>
  <w:style w:type="paragraph" w:styleId="NormalWeb">
    <w:name w:val="Normal (Web)"/>
    <w:basedOn w:val="Normal"/>
    <w:rsid w:val="00614939"/>
    <w:pPr>
      <w:bidi w:val="0"/>
    </w:pPr>
    <w:rPr>
      <w:sz w:val="12"/>
      <w:szCs w:val="1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C8EA-FCFE-455C-9FEB-4045DD9B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2024-10-15T04:32:00Z</dcterms:created>
  <dcterms:modified xsi:type="dcterms:W3CDTF">2024-10-15T04:32:00Z</dcterms:modified>
</cp:coreProperties>
</file>