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7B1A17B4" w:rsidR="007C31BE" w:rsidRPr="000B3AEB" w:rsidRDefault="007C31BE" w:rsidP="00614AB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در عرصه </w:t>
                            </w:r>
                            <w:r w:rsidR="006B1AE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گوارش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6B1AE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1403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="006B1AE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7B1A17B4" w:rsidR="007C31BE" w:rsidRPr="000B3AEB" w:rsidRDefault="007C31BE" w:rsidP="00614AB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در عرصه </w:t>
                      </w:r>
                      <w:r w:rsidR="006B1AE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گوارش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6B1AE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1403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="006B1AE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1404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63C4CDE8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در عرصه </w:t>
            </w:r>
            <w:r w:rsidR="006B1AE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>گوارش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105FF58E" w:rsidR="002121BE" w:rsidRPr="000B3AEB" w:rsidRDefault="002121BE" w:rsidP="00614AB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>بیمارستان 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7ED0AFC4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2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6F15600F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كارآموزي تكنيك اتاق عمل، تكنولوژي جراحي در جراحي</w:t>
            </w:r>
            <w:r w:rsidR="00614ABD">
              <w:rPr>
                <w:rFonts w:cs="B Mitra" w:hint="cs"/>
                <w:rtl/>
              </w:rPr>
              <w:softHyphen/>
              <w:t xml:space="preserve">هاي </w:t>
            </w:r>
            <w:r w:rsidR="006B1AED">
              <w:rPr>
                <w:rFonts w:cs="B Mitra" w:hint="cs"/>
                <w:sz w:val="22"/>
                <w:szCs w:val="22"/>
                <w:rtl/>
              </w:rPr>
              <w:t>گوارش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74652A72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B1AED">
              <w:rPr>
                <w:rFonts w:asciiTheme="minorHAnsi" w:hAnsiTheme="minorHAnsi" w:cs="B Mitra" w:hint="cs"/>
                <w:b/>
                <w:bCs/>
                <w:rtl/>
              </w:rPr>
              <w:t>گروه اتاق عمل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5535F6" w:rsidRPr="00A90683" w14:paraId="3AABA145" w14:textId="77777777" w:rsidTr="00BF6A2C">
        <w:trPr>
          <w:trHeight w:val="1090"/>
        </w:trPr>
        <w:tc>
          <w:tcPr>
            <w:tcW w:w="9540" w:type="dxa"/>
          </w:tcPr>
          <w:p w14:paraId="143F0729" w14:textId="77777777" w:rsidR="005535F6" w:rsidRDefault="005535F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02E2F575" w14:textId="77777777" w:rsidR="006B1AED" w:rsidRPr="00E172EB" w:rsidRDefault="006B1AED" w:rsidP="006B1AED">
            <w:pPr>
              <w:pStyle w:val="Title"/>
              <w:spacing w:line="360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</w:rPr>
              <w:t>در اين واحد كارآموزي دانشجو با به كارگيري اصول صحيح و تجارب عملي در كارآموزي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t xml:space="preserve"> گوارش و غدد، به كارگيري مهارت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هاي تئوري تخصصي و تطابق آن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 با موازين، مقررات و تكنيك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هاي اختصاصي اين فرصت را بدست مي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آورد تا با تمرين مكرر و افزايش سرعت با نظارت مربي معايب عملكردي را رفع كرده و تسلط كافي را در انجام مهارت</w:t>
            </w:r>
            <w:r>
              <w:rPr>
                <w:rFonts w:cs="B Nazanin" w:hint="cs"/>
                <w:b w:val="0"/>
                <w:bCs w:val="0"/>
                <w:noProof w:val="0"/>
                <w:color w:val="000000"/>
                <w:sz w:val="26"/>
                <w:szCs w:val="26"/>
                <w:rtl/>
                <w:lang w:bidi="fa-IR"/>
              </w:rPr>
              <w:softHyphen/>
              <w:t>ها بدست آورد.</w:t>
            </w:r>
          </w:p>
          <w:p w14:paraId="50BE96CA" w14:textId="6FBEB998" w:rsidR="005535F6" w:rsidRPr="004767E1" w:rsidRDefault="005535F6" w:rsidP="005535F6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460B2AAC" w:rsidR="00614ABD" w:rsidRPr="00D60085" w:rsidRDefault="004767E1" w:rsidP="00614A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كار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  <w:r w:rsidR="006B1AED">
              <w:rPr>
                <w:rFonts w:cs="B Nazanin" w:hint="cs"/>
                <w:b/>
                <w:bCs/>
                <w:rtl/>
              </w:rPr>
              <w:t>گوارش</w:t>
            </w:r>
            <w:r w:rsidR="00614ABD">
              <w:rPr>
                <w:rFonts w:cs="B Nazanin" w:hint="cs"/>
                <w:b/>
                <w:bCs/>
                <w:rtl/>
              </w:rPr>
              <w:t xml:space="preserve">  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59061186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65992398" w:rsidR="00614ABD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عمل های </w:t>
            </w:r>
            <w:r w:rsidR="006B1AED">
              <w:rPr>
                <w:rFonts w:cs="B Nazanin" w:hint="cs"/>
                <w:rtl/>
              </w:rPr>
              <w:t>گوارش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0227EACA" w14:textId="28A0D013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دلیل اهمیت بالای استریلته در عمل های </w:t>
            </w:r>
            <w:r w:rsidR="006B1AED">
              <w:rPr>
                <w:rFonts w:cs="B Nazanin" w:hint="cs"/>
                <w:rtl/>
              </w:rPr>
              <w:t>گوارش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  <w:p w14:paraId="07667E63" w14:textId="02F95AE6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کاربرد ابزار های</w:t>
            </w:r>
            <w:r w:rsidR="006B1AED">
              <w:rPr>
                <w:rFonts w:cs="B Nazanin" w:hint="cs"/>
                <w:rtl/>
              </w:rPr>
              <w:t xml:space="preserve"> جراحی گوارش </w:t>
            </w:r>
            <w:r>
              <w:rPr>
                <w:rFonts w:cs="B Nazanin" w:hint="cs"/>
                <w:rtl/>
              </w:rPr>
              <w:t>را توضیح دهد.</w:t>
            </w:r>
          </w:p>
          <w:p w14:paraId="3688414E" w14:textId="696A0AB8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نحوه پذیرش و انتقال به ریکاوری بیماران </w:t>
            </w:r>
            <w:r w:rsidR="006B1AED">
              <w:rPr>
                <w:rFonts w:cs="B Nazanin" w:hint="cs"/>
                <w:rtl/>
              </w:rPr>
              <w:t>گوارش</w:t>
            </w:r>
            <w:r>
              <w:rPr>
                <w:rFonts w:cs="B Nazanin" w:hint="cs"/>
                <w:rtl/>
              </w:rPr>
              <w:t xml:space="preserve"> را شر</w:t>
            </w:r>
            <w:r w:rsidR="006B1AED">
              <w:rPr>
                <w:rFonts w:cs="B Nazanin" w:hint="cs"/>
                <w:rtl/>
              </w:rPr>
              <w:t>ح</w:t>
            </w:r>
            <w:r>
              <w:rPr>
                <w:rFonts w:cs="B Nazanin" w:hint="cs"/>
                <w:rtl/>
              </w:rPr>
              <w:t xml:space="preserve"> دهد.</w:t>
            </w:r>
          </w:p>
          <w:p w14:paraId="339929F8" w14:textId="22EDCDCC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اصول حفاظت فردی در عمل های </w:t>
            </w:r>
            <w:r w:rsidR="006B1AED">
              <w:rPr>
                <w:rFonts w:cs="B Nazanin" w:hint="cs"/>
                <w:rtl/>
              </w:rPr>
              <w:t>گوارش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66015134" w14:textId="63016609" w:rsidR="00B807C6" w:rsidRPr="00D32794" w:rsidRDefault="00B807C6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</w:rPr>
            </w:pPr>
            <w:r w:rsidRPr="00D32794">
              <w:rPr>
                <w:rFonts w:cs="B Nazanin" w:hint="cs"/>
                <w:rtl/>
              </w:rPr>
              <w:t>تا زمانی که برای بیماران بی دردی صورت نگرفته است برای بیمار مداخله ای انجام ندهد.</w:t>
            </w:r>
          </w:p>
          <w:p w14:paraId="47B44F32" w14:textId="19D96EBB" w:rsidR="00B807C6" w:rsidRPr="00D32794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579B062" w14:textId="6F58C004" w:rsidR="00D32794" w:rsidRDefault="00D32794" w:rsidP="00D32794">
            <w:pPr>
              <w:pStyle w:val="BodyText"/>
              <w:spacing w:line="360" w:lineRule="auto"/>
              <w:rPr>
                <w:rtl/>
              </w:rPr>
            </w:pP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15F5F319" w14:textId="1908D6A1" w:rsidR="00D32794" w:rsidRPr="009C48F6" w:rsidRDefault="00D32794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دانشجو به کمک پرسنل قادر به اجرای پوزیشن های مخصوص </w:t>
            </w:r>
            <w:r w:rsidR="006B1AED">
              <w:rPr>
                <w:rFonts w:cs="B Nazanin" w:hint="cs"/>
                <w:rtl/>
              </w:rPr>
              <w:t>گوارش</w:t>
            </w:r>
            <w:r w:rsidRPr="009C48F6">
              <w:rPr>
                <w:rFonts w:cs="B Nazanin" w:hint="cs"/>
                <w:rtl/>
              </w:rPr>
              <w:t xml:space="preserve"> باشد.</w:t>
            </w:r>
          </w:p>
          <w:p w14:paraId="58DB18E5" w14:textId="6583015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فرایند آماده سازی بیمار در قبل از عمل به تیم جراحی کمک کند.</w:t>
            </w:r>
          </w:p>
          <w:p w14:paraId="0445F6B0" w14:textId="76D24BAE" w:rsidR="00D32794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بکارگیری انواع ست های </w:t>
            </w:r>
            <w:r w:rsidR="006B1AED">
              <w:rPr>
                <w:rFonts w:cs="B Nazanin" w:hint="cs"/>
                <w:rtl/>
              </w:rPr>
              <w:t>گوارش</w:t>
            </w:r>
            <w:r w:rsidRPr="009C48F6">
              <w:rPr>
                <w:rFonts w:cs="B Nazanin" w:hint="cs"/>
                <w:rtl/>
              </w:rPr>
              <w:t xml:space="preserve"> را در حین عمل انجام دهد.</w:t>
            </w:r>
          </w:p>
          <w:p w14:paraId="1BF1FAAA" w14:textId="7F50B0B1" w:rsidR="006977D6" w:rsidRPr="006977D6" w:rsidRDefault="006977D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در فرایند پانسمان و بخیه پوست بیمار به صورت فعالانه مشارکت داشته باشد.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48C2738A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جلسه معارفه، دانشجو از اهداف دوره و مقررات حاكم آگاه شده و با محيط بخش آشنا شود.</w:t>
            </w:r>
          </w:p>
          <w:p w14:paraId="59EC5923" w14:textId="115AE76A" w:rsidR="00BF509B" w:rsidRPr="006B1AED" w:rsidRDefault="00BF509B" w:rsidP="006B1AED">
            <w:pPr>
              <w:jc w:val="both"/>
              <w:rPr>
                <w:rFonts w:cs="B Mitra"/>
                <w:b/>
                <w:bCs/>
              </w:rPr>
            </w:pPr>
            <w:r w:rsidRPr="006B1AED">
              <w:rPr>
                <w:rFonts w:cs="B Mitra" w:hint="cs"/>
                <w:b/>
                <w:bCs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6B1AED" w:rsidRDefault="000B3AEB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2AC20A97" w:rsidR="000B3AEB" w:rsidRPr="006B1AED" w:rsidRDefault="00BF509B" w:rsidP="006B1AED">
            <w:pPr>
              <w:jc w:val="both"/>
              <w:rPr>
                <w:rFonts w:cs="B Mitra"/>
                <w:b/>
                <w:bCs/>
              </w:rPr>
            </w:pPr>
            <w:r w:rsidRPr="006B1AED">
              <w:rPr>
                <w:rFonts w:cs="B Mitra" w:hint="cs"/>
                <w:b/>
                <w:bCs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B7303A3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انواع ست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>هاي مورد استفاده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6B1AED">
              <w:rPr>
                <w:rFonts w:cs="B Mitra" w:hint="cs"/>
                <w:b/>
                <w:bCs/>
                <w:color w:val="000000"/>
                <w:rtl/>
              </w:rPr>
              <w:t>گوارش و غدد</w:t>
            </w:r>
            <w:r w:rsidRPr="006B1AED">
              <w:rPr>
                <w:rFonts w:cs="B Mitra" w:hint="cs"/>
                <w:b/>
                <w:bCs/>
                <w:rtl/>
              </w:rPr>
              <w:t xml:space="preserve"> آشنا شود و به كارگيرد.</w:t>
            </w:r>
          </w:p>
          <w:p w14:paraId="57D68280" w14:textId="2227D50D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A69D23A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وسايل اختصاصي تك پيچ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6B1AED">
              <w:rPr>
                <w:rFonts w:cs="B Mitra" w:hint="cs"/>
                <w:b/>
                <w:bCs/>
                <w:color w:val="000000"/>
                <w:rtl/>
              </w:rPr>
              <w:t>گوارش و غدد</w:t>
            </w:r>
            <w:r w:rsidRPr="006B1AED">
              <w:rPr>
                <w:rFonts w:cs="B Mitra" w:hint="cs"/>
                <w:b/>
                <w:bCs/>
                <w:rtl/>
              </w:rPr>
              <w:t xml:space="preserve"> آشنا شود و به كارگيرد.</w:t>
            </w:r>
          </w:p>
          <w:p w14:paraId="2D320467" w14:textId="6D250E9D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DDDE4DF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تجهيزات و وسايل لاپاراسكوپي در اتاق عمل گوارش و غدد آشنا شده و به كار گيرد.</w:t>
            </w:r>
          </w:p>
          <w:p w14:paraId="49ECA225" w14:textId="41AE9465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1719736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نحوه گره زدن با دست آشنا بوده و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>هاي گوارش و غدد به كار گيرد.</w:t>
            </w:r>
          </w:p>
          <w:p w14:paraId="55B883FF" w14:textId="617FCE2A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30BBCAB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انواع استاپلرها و تجهيزات آناستموز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>هاي گوارش و غدد آشنا شود و به كارگيرد.</w:t>
            </w:r>
          </w:p>
          <w:p w14:paraId="71173D93" w14:textId="7F151B8A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FB68B6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با انواع روش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>هاي بخيه مورد استفاده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>هاي گوارش و غدد آشنا شده و به كار گيرد.</w:t>
            </w:r>
          </w:p>
          <w:p w14:paraId="0FB66463" w14:textId="67CE67C1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A6E9420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به عنوان پرستار سيركولر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 xml:space="preserve">هاي گوارش و غدد انجام وظيفه كند. </w:t>
            </w:r>
          </w:p>
          <w:p w14:paraId="1AD8114E" w14:textId="746F433B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08B441" w14:textId="77777777" w:rsidR="006B1AED" w:rsidRPr="006B1AED" w:rsidRDefault="006B1AED" w:rsidP="006B1AED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6B1AED">
              <w:rPr>
                <w:rFonts w:cs="B Mitra" w:hint="cs"/>
                <w:b/>
                <w:bCs/>
                <w:rtl/>
              </w:rPr>
              <w:t>دانشجو به عنوان پرستار اسكراب در جراحي</w:t>
            </w:r>
            <w:r w:rsidRPr="006B1AED">
              <w:rPr>
                <w:rFonts w:cs="B Mitra" w:hint="cs"/>
                <w:b/>
                <w:bCs/>
                <w:rtl/>
              </w:rPr>
              <w:softHyphen/>
              <w:t xml:space="preserve">هاي </w:t>
            </w:r>
            <w:r w:rsidRPr="006B1AED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Pr="006B1AED">
              <w:rPr>
                <w:rFonts w:cs="B Mitra" w:hint="cs"/>
                <w:b/>
                <w:bCs/>
                <w:rtl/>
              </w:rPr>
              <w:t>گوارش و غدد انجام وظيفه كند.</w:t>
            </w:r>
          </w:p>
          <w:p w14:paraId="2AF56BEF" w14:textId="6B7332C1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6B1AED" w:rsidRDefault="00E26577" w:rsidP="006B1AED">
            <w:pPr>
              <w:jc w:val="both"/>
              <w:rPr>
                <w:rFonts w:cs="B Mitra"/>
                <w:b/>
                <w:bCs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62A2EB29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1F2468AD" w14:textId="77777777" w:rsidR="006B1AED" w:rsidRPr="005958F0" w:rsidRDefault="006B1AED" w:rsidP="006B1AED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52D07416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>Berry and Kohn's Operating Room Technique/ Nancymarie Phillips (Author) Mosby; 12 edition/ ISBN: 9780323073585</w:t>
                  </w:r>
                </w:p>
                <w:p w14:paraId="22025586" w14:textId="77777777" w:rsidR="006B1AED" w:rsidRPr="005958F0" w:rsidRDefault="006B1AED" w:rsidP="006B1AED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4E97ADE0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2BF64D0F" w14:textId="77777777" w:rsidR="006B1AED" w:rsidRPr="005958F0" w:rsidRDefault="006B1AED" w:rsidP="006B1AED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22F6F465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770A8627" w14:textId="77777777" w:rsidR="006B1AED" w:rsidRPr="005958F0" w:rsidRDefault="006B1AED" w:rsidP="006B1AED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69C98099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احسان،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تكنولوژي جراحي در 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جراحي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 xml:space="preserve">هاي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گوارش و غدد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 جامعه نگر.</w:t>
                  </w:r>
                </w:p>
                <w:p w14:paraId="7257664A" w14:textId="77777777" w:rsidR="006B1AED" w:rsidRPr="005958F0" w:rsidRDefault="006B1AED" w:rsidP="006B1AED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1DFC16A0" w14:textId="77777777" w:rsidR="006B1AED" w:rsidRPr="005958F0" w:rsidRDefault="006B1AED" w:rsidP="006B1AED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C7275" w14:textId="77777777" w:rsidR="003534A8" w:rsidRDefault="003534A8">
      <w:r>
        <w:separator/>
      </w:r>
    </w:p>
  </w:endnote>
  <w:endnote w:type="continuationSeparator" w:id="0">
    <w:p w14:paraId="24B498D1" w14:textId="77777777" w:rsidR="003534A8" w:rsidRDefault="0035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6C309D8-0C85-46C2-A760-1DC6630893AC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05E48FF7-888C-411D-8C2E-36DA749F30B6}"/>
    <w:embedBold r:id="rId3" w:fontKey="{BB90A0A9-B143-438C-A851-BBC4B48884CE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85AD86D1-148D-4EA7-A4B3-3C797A91F448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19A2A610-979F-43EA-9C60-D7FC913D6F87}"/>
    <w:embedBold r:id="rId6" w:fontKey="{CEDC187F-AB5E-4DAA-82FD-7F39711A73B5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7" w:fontKey="{37FB5C1C-D9A6-44CC-B392-8998CDB0B26F}"/>
    <w:embedBold r:id="rId8" w:fontKey="{4423B561-01EC-484C-84CA-5B8CE6B55A7D}"/>
    <w:embedItalic r:id="rId9" w:fontKey="{0242C9FA-CC6C-4D0B-81B0-301B080636FD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FBAC9" w14:textId="77777777" w:rsidR="003534A8" w:rsidRDefault="003534A8">
      <w:r>
        <w:separator/>
      </w:r>
    </w:p>
  </w:footnote>
  <w:footnote w:type="continuationSeparator" w:id="0">
    <w:p w14:paraId="74270277" w14:textId="77777777" w:rsidR="003534A8" w:rsidRDefault="0035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3534A8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3534A8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3534A8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0F091F"/>
    <w:rsid w:val="00106703"/>
    <w:rsid w:val="00121D45"/>
    <w:rsid w:val="00131099"/>
    <w:rsid w:val="00136202"/>
    <w:rsid w:val="001A2B5C"/>
    <w:rsid w:val="002121BE"/>
    <w:rsid w:val="002177CC"/>
    <w:rsid w:val="00254153"/>
    <w:rsid w:val="003534A8"/>
    <w:rsid w:val="003A150C"/>
    <w:rsid w:val="003A4E8F"/>
    <w:rsid w:val="003C0043"/>
    <w:rsid w:val="00410B81"/>
    <w:rsid w:val="004767E1"/>
    <w:rsid w:val="004E1040"/>
    <w:rsid w:val="00504B14"/>
    <w:rsid w:val="00504D54"/>
    <w:rsid w:val="005535F6"/>
    <w:rsid w:val="005A60DC"/>
    <w:rsid w:val="005B5876"/>
    <w:rsid w:val="00614ABD"/>
    <w:rsid w:val="006977D6"/>
    <w:rsid w:val="006B1AED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90799C"/>
    <w:rsid w:val="0095484D"/>
    <w:rsid w:val="00974928"/>
    <w:rsid w:val="009915AC"/>
    <w:rsid w:val="009C48F6"/>
    <w:rsid w:val="009D764D"/>
    <w:rsid w:val="009F2560"/>
    <w:rsid w:val="00A305EE"/>
    <w:rsid w:val="00A62544"/>
    <w:rsid w:val="00A90683"/>
    <w:rsid w:val="00AF4A8F"/>
    <w:rsid w:val="00B5215E"/>
    <w:rsid w:val="00B70736"/>
    <w:rsid w:val="00B807C6"/>
    <w:rsid w:val="00BA0CBA"/>
    <w:rsid w:val="00BB2ADF"/>
    <w:rsid w:val="00BF509B"/>
    <w:rsid w:val="00BF6A2C"/>
    <w:rsid w:val="00CA2EA9"/>
    <w:rsid w:val="00CC7EBB"/>
    <w:rsid w:val="00CD3599"/>
    <w:rsid w:val="00CD657A"/>
    <w:rsid w:val="00D32794"/>
    <w:rsid w:val="00D46E62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uiPriority w:val="99"/>
    <w:qFormat/>
    <w:rsid w:val="006B1AED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6B1AED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6610-7331-44BC-827B-0D319AF0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2024-10-15T04:30:00Z</dcterms:created>
  <dcterms:modified xsi:type="dcterms:W3CDTF">2024-10-15T04:30:00Z</dcterms:modified>
</cp:coreProperties>
</file>